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0.svg" ContentType="image/svg+xml"/>
  <Override PartName="/word/media/image8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C49BE">
      <w:pPr>
        <w:spacing w:before="0" w:after="0" w:line="1103" w:lineRule="exact"/>
      </w:pPr>
    </w:p>
    <w:p w14:paraId="72ADA7A8">
      <w:pPr>
        <w:tabs>
          <w:tab w:val="left" w:pos="2100"/>
        </w:tabs>
        <w:spacing w:before="0" w:after="0" w:line="537" w:lineRule="exact"/>
      </w:pPr>
      <w:r>
        <w:rPr>
          <w:rFonts w:ascii="微软雅黑" w:hAnsi="微软雅黑" w:eastAsia="微软雅黑" w:cs="微软雅黑"/>
          <w:b w:val="0"/>
          <w:color w:val="404040"/>
          <w:sz w:val="42"/>
        </w:rPr>
        <w:t>李辰可伊</w:t>
      </w:r>
      <w:r>
        <w:rPr>
          <w:rFonts w:ascii="微软雅黑" w:hAnsi="微软雅黑" w:eastAsia="微软雅黑" w:cs="微软雅黑"/>
          <w:b w:val="0"/>
          <w:color w:val="404040"/>
          <w:sz w:val="42"/>
        </w:rPr>
        <w:tab/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377825</wp:posOffset>
            </wp:positionH>
            <wp:positionV relativeFrom="page">
              <wp:posOffset>156210</wp:posOffset>
            </wp:positionV>
            <wp:extent cx="6793865" cy="525145"/>
            <wp:effectExtent l="0" t="0" r="0" b="0"/>
            <wp:wrapNone/>
            <wp:docPr id="1" name="Drawing 0" descr="base_info_head_icon_spl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 descr="base_info_head_icon_split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93931" cy="52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6A2C6">
      <w:pPr>
        <w:spacing w:before="0" w:after="0" w:line="261" w:lineRule="exact"/>
      </w:pPr>
    </w:p>
    <w:p w14:paraId="220D8487">
      <w:pPr>
        <w:tabs>
          <w:tab w:val="left" w:pos="3300"/>
        </w:tabs>
        <w:wordWrap w:val="0"/>
        <w:spacing w:before="0" w:after="0" w:line="377" w:lineRule="exact"/>
        <w:ind w:left="0" w:right="3740"/>
        <w:jc w:val="left"/>
        <w:textAlignment w:val="center"/>
      </w:pPr>
      <w:r>
        <w:rPr>
          <w:rFonts w:ascii="微软雅黑" w:hAnsi="微软雅黑" w:eastAsia="微软雅黑" w:cs="微软雅黑"/>
          <w:b w:val="0"/>
          <w:color w:val="404040"/>
          <w:sz w:val="20"/>
        </w:rPr>
        <w:t>电话：</w:t>
      </w:r>
      <w:r>
        <w:rPr>
          <w:rFonts w:ascii="微软雅黑" w:hAnsi="微软雅黑" w:eastAsia="微软雅黑" w:cs="微软雅黑"/>
          <w:color w:val="404040"/>
          <w:sz w:val="20"/>
        </w:rPr>
        <w:t>18302991191</w:t>
      </w:r>
      <w:r>
        <w:rPr>
          <w:rFonts w:ascii="微软雅黑" w:hAnsi="微软雅黑" w:eastAsia="微软雅黑" w:cs="微软雅黑"/>
          <w:color w:val="404040"/>
          <w:sz w:val="20"/>
        </w:rPr>
        <w:tab/>
      </w:r>
      <w:r>
        <w:rPr>
          <w:rFonts w:ascii="微软雅黑" w:hAnsi="微软雅黑" w:eastAsia="微软雅黑" w:cs="微软雅黑"/>
          <w:b w:val="0"/>
          <w:color w:val="404040"/>
          <w:sz w:val="20"/>
        </w:rPr>
        <w:t>邮箱：</w:t>
      </w:r>
      <w:r>
        <w:rPr>
          <w:rFonts w:ascii="微软雅黑" w:hAnsi="微软雅黑" w:eastAsia="微软雅黑" w:cs="微软雅黑"/>
          <w:color w:val="404040"/>
          <w:sz w:val="20"/>
        </w:rPr>
        <w:t>198064990@qq.com</w:t>
      </w:r>
    </w:p>
    <w:p w14:paraId="48A9852F">
      <w:pPr>
        <w:tabs>
          <w:tab w:val="left" w:pos="3300"/>
        </w:tabs>
        <w:wordWrap w:val="0"/>
        <w:spacing w:before="0" w:after="0" w:line="377" w:lineRule="exact"/>
        <w:ind w:left="0" w:right="3740"/>
        <w:jc w:val="left"/>
        <w:textAlignment w:val="center"/>
        <w:rPr>
          <w:rFonts w:hint="eastAsia" w:eastAsia="微软雅黑"/>
          <w:lang w:eastAsia="zh"/>
          <w:woUserID w:val="1"/>
        </w:rPr>
      </w:pPr>
      <w:r>
        <w:rPr>
          <w:rFonts w:hint="eastAsia" w:ascii="微软雅黑" w:hAnsi="微软雅黑" w:eastAsia="微软雅黑" w:cs="微软雅黑"/>
          <w:b w:val="0"/>
          <w:color w:val="404040"/>
          <w:sz w:val="20"/>
          <w:lang w:val="en-US" w:eastAsia="zh-CN"/>
        </w:rPr>
        <w:t>专业：经济与管理学院</w:t>
      </w:r>
      <w:r>
        <w:rPr>
          <w:rFonts w:ascii="微软雅黑" w:hAnsi="微软雅黑" w:eastAsia="微软雅黑" w:cs="微软雅黑"/>
          <w:color w:val="404040"/>
          <w:sz w:val="20"/>
        </w:rPr>
        <w:tab/>
      </w:r>
      <w:r>
        <w:rPr>
          <w:rFonts w:hint="eastAsia" w:ascii="微软雅黑" w:hAnsi="微软雅黑" w:eastAsia="微软雅黑" w:cs="微软雅黑"/>
          <w:color w:val="404040"/>
          <w:sz w:val="20"/>
          <w:lang w:eastAsia="zh"/>
          <w:woUserID w:val="1"/>
        </w:rPr>
        <w:t>学校：西安电子科技大学</w:t>
      </w:r>
    </w:p>
    <w:p w14:paraId="3E58DB4C">
      <w:pPr>
        <w:wordWrap w:val="0"/>
        <w:spacing w:before="0" w:after="0" w:line="377" w:lineRule="exact"/>
        <w:ind w:left="0" w:right="3740"/>
        <w:jc w:val="left"/>
        <w:textAlignment w:val="center"/>
        <w:rPr>
          <w:rFonts w:hint="eastAsia" w:ascii="微软雅黑" w:hAnsi="微软雅黑" w:eastAsia="微软雅黑" w:cs="微软雅黑"/>
          <w:sz w:val="21"/>
          <w:lang w:eastAsia="zh"/>
          <w:woUserID w:val="1"/>
        </w:rPr>
      </w:pPr>
      <w:r>
        <w:rPr>
          <w:rFonts w:ascii="微软雅黑" w:hAnsi="微软雅黑" w:eastAsia="微软雅黑" w:cs="微软雅黑"/>
          <w:b w:val="0"/>
          <w:color w:val="404040"/>
          <w:sz w:val="20"/>
        </w:rPr>
        <w:t>政治面貌：</w:t>
      </w:r>
      <w:r>
        <w:rPr>
          <w:rFonts w:ascii="微软雅黑" w:hAnsi="微软雅黑" w:eastAsia="微软雅黑" w:cs="微软雅黑"/>
          <w:color w:val="404040"/>
          <w:sz w:val="20"/>
        </w:rPr>
        <w:t>共青团员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5927090</wp:posOffset>
            </wp:positionH>
            <wp:positionV relativeFrom="page">
              <wp:posOffset>884555</wp:posOffset>
            </wp:positionV>
            <wp:extent cx="930910" cy="1252220"/>
            <wp:effectExtent l="0" t="0" r="0" b="0"/>
            <wp:wrapNone/>
            <wp:docPr id="3" name="Drawing 0" descr="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awing 0" descr="icon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1054" cy="1252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eastAsia="zh"/>
          <w:woUserID w:val="1"/>
        </w:rPr>
        <w:t xml:space="preserve">              </w:t>
      </w:r>
      <w:r>
        <w:rPr>
          <w:rFonts w:hint="eastAsia" w:ascii="微软雅黑" w:hAnsi="微软雅黑" w:eastAsia="微软雅黑" w:cs="微软雅黑"/>
          <w:lang w:eastAsia="zh"/>
          <w:woUserID w:val="1"/>
        </w:rPr>
        <w:t>毕业时间：2027年</w:t>
      </w:r>
    </w:p>
    <w:p w14:paraId="56A8C35F">
      <w:pPr>
        <w:spacing w:before="0" w:after="0" w:line="290" w:lineRule="exact"/>
      </w:pPr>
    </w:p>
    <w:p w14:paraId="3BA24DF5">
      <w:pPr>
        <w:spacing w:before="100" w:after="160" w:line="290" w:lineRule="exact"/>
        <w:ind w:left="566"/>
        <w:textAlignment w:val="center"/>
        <w:rPr>
          <w:color w:val="D6DCE5" w:themeColor="text2" w:themeTint="33"/>
          <w:sz w:val="21"/>
          <w14:textFill>
            <w14:solidFill>
              <w14:schemeClr w14:val="tx2">
                <w14:lumMod w14:val="20000"/>
                <w14:lumOff w14:val="80000"/>
              </w14:schemeClr>
            </w14:solidFill>
          </w14:textFill>
        </w:rPr>
      </w:pPr>
      <w:r>
        <w:rPr>
          <w:rFonts w:ascii="微软雅黑" w:hAnsi="微软雅黑" w:eastAsia="微软雅黑" w:cs="微软雅黑"/>
          <w:b w:val="0"/>
          <w:color w:val="D6DCE5" w:themeColor="text2" w:themeTint="33"/>
          <w:sz w:val="26"/>
          <w14:textFill>
            <w14:solidFill>
              <w14:schemeClr w14:val="tx2">
                <w14:lumMod w14:val="20000"/>
                <w14:lumOff w14:val="80000"/>
              </w14:schemeClr>
            </w14:solidFill>
          </w14:textFill>
        </w:rPr>
        <w:t>教育经历</w:t>
      </w:r>
      <w:r>
        <w:rPr>
          <w:rFonts w:ascii="微软雅黑" w:hAnsi="微软雅黑" w:eastAsia="微软雅黑" w:cs="微软雅黑"/>
          <w:b w:val="0"/>
          <w:color w:val="D6DCE5" w:themeColor="text2" w:themeTint="33"/>
          <w:sz w:val="26"/>
          <w14:textFill>
            <w14:solidFill>
              <w14:schemeClr w14:val="tx2">
                <w14:lumMod w14:val="20000"/>
                <w14:lumOff w14:val="80000"/>
              </w14:schemeClr>
            </w14:solidFill>
          </w14:textFill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0</wp:posOffset>
            </wp:positionV>
            <wp:extent cx="6664960" cy="350520"/>
            <wp:effectExtent l="0" t="0" r="0" b="0"/>
            <wp:wrapNone/>
            <wp:docPr id="9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64873" cy="350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D6DCE5" w:themeColor="text2" w:themeTint="33"/>
          <w14:textFill>
            <w14:solidFill>
              <w14:schemeClr w14:val="tx2">
                <w14:lumMod w14:val="20000"/>
                <w14:lumOff w14:val="80000"/>
              </w14:schemeClr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64135</wp:posOffset>
            </wp:positionV>
            <wp:extent cx="193675" cy="193675"/>
            <wp:effectExtent l="0" t="0" r="0" b="0"/>
            <wp:wrapNone/>
            <wp:docPr id="11" name="Drawing 0" descr="教育经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rawing 0" descr="教育经历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585" cy="19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B6319A">
      <w:pPr>
        <w:spacing w:before="0" w:after="0" w:line="14" w:lineRule="exact"/>
        <w:rPr>
          <w:sz w:val="21"/>
        </w:rPr>
      </w:pPr>
    </w:p>
    <w:p w14:paraId="7949CE8A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09151B8B">
      <w:pPr>
        <w:tabs>
          <w:tab w:val="right" w:pos="10380"/>
        </w:tabs>
        <w:spacing w:before="0" w:after="0" w:line="377" w:lineRule="exact"/>
        <w:ind w:left="80"/>
        <w:jc w:val="left"/>
        <w:textAlignment w:val="center"/>
      </w:pPr>
      <w:r>
        <w:rPr>
          <w:rFonts w:ascii="微软雅黑" w:hAnsi="微软雅黑" w:eastAsia="微软雅黑" w:cs="微软雅黑"/>
          <w:b/>
          <w:sz w:val="22"/>
        </w:rPr>
        <w:t>2023.09-2027.06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ascii="微软雅黑" w:hAnsi="微软雅黑" w:eastAsia="微软雅黑" w:cs="微软雅黑"/>
          <w:b/>
          <w:sz w:val="22"/>
        </w:rPr>
        <w:t>西安电子科技大学</w:t>
      </w:r>
    </w:p>
    <w:p w14:paraId="2D86B59A">
      <w:pPr>
        <w:tabs>
          <w:tab w:val="right" w:pos="10380"/>
        </w:tabs>
        <w:spacing w:before="0" w:after="0" w:line="377" w:lineRule="exact"/>
        <w:ind w:left="80"/>
        <w:jc w:val="left"/>
        <w:textAlignment w:val="center"/>
      </w:pPr>
      <w:r>
        <w:rPr>
          <w:rFonts w:ascii="微软雅黑" w:hAnsi="微软雅黑" w:eastAsia="微软雅黑" w:cs="微软雅黑"/>
          <w:color w:val="404040"/>
          <w:sz w:val="20"/>
        </w:rPr>
        <w:t>核心课程：ERP系统原理、mysql数据库原理与应用、管理信息系统、数据科学基础、工程项目管理、运筹学等</w:t>
      </w:r>
    </w:p>
    <w:p w14:paraId="0A0B621A">
      <w:pPr>
        <w:spacing w:before="0" w:after="0" w:line="290" w:lineRule="exact"/>
        <w:jc w:val="left"/>
      </w:pPr>
    </w:p>
    <w:p w14:paraId="1A60C173">
      <w:pPr>
        <w:spacing w:before="100" w:after="160" w:line="290" w:lineRule="exact"/>
        <w:ind w:left="566"/>
        <w:textAlignment w:val="center"/>
        <w:rPr>
          <w:sz w:val="21"/>
        </w:rPr>
      </w:pPr>
      <w:r>
        <w:rPr>
          <w:rFonts w:ascii="微软雅黑" w:hAnsi="微软雅黑" w:eastAsia="微软雅黑" w:cs="微软雅黑"/>
          <w:b w:val="0"/>
          <w:color w:val="FFFFFF"/>
          <w:sz w:val="26"/>
        </w:rPr>
        <w:t>实习及项目经历</w:t>
      </w:r>
      <w:r>
        <w:rPr>
          <w:rFonts w:ascii="微软雅黑" w:hAnsi="微软雅黑" w:eastAsia="微软雅黑" w:cs="微软雅黑"/>
          <w:b w:val="0"/>
          <w:color w:val="FFFFFF"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0</wp:posOffset>
            </wp:positionV>
            <wp:extent cx="6664960" cy="350520"/>
            <wp:effectExtent l="0" t="0" r="0" b="0"/>
            <wp:wrapNone/>
            <wp:docPr id="13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64873" cy="350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64135</wp:posOffset>
            </wp:positionV>
            <wp:extent cx="193675" cy="193675"/>
            <wp:effectExtent l="0" t="0" r="0" b="0"/>
            <wp:wrapNone/>
            <wp:docPr id="15" name="Drawing 0" descr="实习及项目经历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rawing 0" descr="实习及项目经历.sv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85" cy="19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075813">
      <w:pPr>
        <w:spacing w:before="0" w:after="0" w:line="14" w:lineRule="exact"/>
        <w:rPr>
          <w:sz w:val="21"/>
        </w:rPr>
      </w:pPr>
    </w:p>
    <w:p w14:paraId="21D660A0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172C75BC">
      <w:pPr>
        <w:spacing w:before="0" w:after="0" w:line="377" w:lineRule="exact"/>
        <w:ind w:left="80"/>
        <w:textAlignment w:val="center"/>
      </w:pPr>
      <w:r>
        <w:rPr>
          <w:rFonts w:hint="eastAsia" w:ascii="微软雅黑" w:hAnsi="微软雅黑" w:eastAsia="微软雅黑" w:cs="微软雅黑"/>
          <w:b/>
          <w:color w:val="404040"/>
          <w:sz w:val="20"/>
          <w:lang w:val="en-US" w:eastAsia="zh-CN"/>
        </w:rPr>
        <w:t>陕西</w:t>
      </w:r>
      <w:r>
        <w:rPr>
          <w:rFonts w:ascii="微软雅黑" w:hAnsi="微软雅黑" w:eastAsia="微软雅黑" w:cs="微软雅黑"/>
          <w:b/>
          <w:color w:val="404040"/>
          <w:sz w:val="20"/>
        </w:rPr>
        <w:t>汉德车桥</w:t>
      </w:r>
      <w:r>
        <w:rPr>
          <w:rFonts w:hint="eastAsia" w:ascii="微软雅黑" w:hAnsi="微软雅黑" w:eastAsia="微软雅黑" w:cs="微软雅黑"/>
          <w:b/>
          <w:color w:val="404040"/>
          <w:sz w:val="20"/>
          <w:lang w:val="en-US" w:eastAsia="zh-CN"/>
        </w:rPr>
        <w:t>有限公司</w:t>
      </w:r>
      <w:r>
        <w:rPr>
          <w:rFonts w:ascii="微软雅黑" w:hAnsi="微软雅黑" w:eastAsia="微软雅黑" w:cs="微软雅黑"/>
          <w:b/>
          <w:color w:val="404040"/>
          <w:sz w:val="20"/>
        </w:rPr>
        <w:t xml:space="preserve"> </w:t>
      </w:r>
      <w:r>
        <w:rPr>
          <w:rFonts w:hint="eastAsia" w:ascii="微软雅黑" w:hAnsi="微软雅黑" w:eastAsia="微软雅黑" w:cs="微软雅黑"/>
          <w:b/>
          <w:color w:val="404040"/>
          <w:sz w:val="20"/>
          <w:lang w:val="en-US" w:eastAsia="zh-CN"/>
        </w:rPr>
        <w:t xml:space="preserve">                      </w:t>
      </w:r>
      <w:r>
        <w:rPr>
          <w:rFonts w:ascii="微软雅黑" w:hAnsi="微软雅黑" w:eastAsia="微软雅黑" w:cs="微软雅黑"/>
          <w:b/>
          <w:color w:val="404040"/>
          <w:sz w:val="20"/>
        </w:rPr>
        <w:t xml:space="preserve">生产运营实习生 2026.08 </w:t>
      </w:r>
    </w:p>
    <w:p w14:paraId="6948486E">
      <w:pPr>
        <w:numPr>
          <w:ilvl w:val="0"/>
          <w:numId w:val="1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业务调研</w:t>
      </w:r>
      <w:r>
        <w:rPr>
          <w:rFonts w:hint="eastAsia" w:ascii="微软雅黑" w:hAnsi="微软雅黑" w:eastAsia="微软雅黑" w:cs="微软雅黑"/>
          <w:color w:val="404040"/>
          <w:sz w:val="20"/>
        </w:rPr>
        <w:t>：深度调研自动化产线6道核心工序，梳理全链路业务流程，结合一线作业痛点输出标准化流程优化方案</w:t>
      </w:r>
    </w:p>
    <w:p w14:paraId="423A6A84">
      <w:pPr>
        <w:numPr>
          <w:ilvl w:val="0"/>
          <w:numId w:val="1"/>
        </w:numPr>
        <w:spacing w:before="0" w:after="0" w:line="377" w:lineRule="exact"/>
        <w:textAlignment w:val="center"/>
        <w:rPr>
          <w:rFonts w:hint="eastAsia" w:ascii="微软雅黑" w:hAnsi="微软雅黑" w:eastAsia="微软雅黑" w:cs="微软雅黑"/>
          <w:color w:val="404040"/>
          <w:sz w:val="20"/>
        </w:rPr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数据诊断：</w:t>
      </w:r>
      <w:r>
        <w:rPr>
          <w:rFonts w:hint="eastAsia" w:ascii="微软雅黑" w:hAnsi="微软雅黑" w:eastAsia="微软雅黑" w:cs="微软雅黑"/>
          <w:color w:val="404040"/>
          <w:sz w:val="20"/>
        </w:rPr>
        <w:t>基于现场测时数据开展产能核算，精准定位967秒瓶颈工序与586秒无效等待环节，为流程改造提供数据支撑</w:t>
      </w:r>
    </w:p>
    <w:p w14:paraId="3829A0DB">
      <w:pPr>
        <w:numPr>
          <w:ilvl w:val="0"/>
          <w:numId w:val="1"/>
        </w:numPr>
        <w:spacing w:before="0" w:after="0" w:line="377" w:lineRule="exact"/>
        <w:textAlignment w:val="center"/>
        <w:rPr>
          <w:rFonts w:hint="eastAsia" w:ascii="微软雅黑" w:hAnsi="微软雅黑" w:eastAsia="微软雅黑" w:cs="微软雅黑"/>
          <w:color w:val="404040"/>
          <w:sz w:val="20"/>
        </w:rPr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方案落地</w:t>
      </w:r>
      <w:r>
        <w:rPr>
          <w:rFonts w:hint="eastAsia" w:ascii="微软雅黑" w:hAnsi="微软雅黑" w:eastAsia="微软雅黑" w:cs="微软雅黑"/>
          <w:color w:val="404040"/>
          <w:sz w:val="20"/>
        </w:rPr>
        <w:t>：输出人机协同优化方案，推动生产作业标准化落地，助力目标工序生产效率提升12%</w:t>
      </w:r>
    </w:p>
    <w:p w14:paraId="0C49291A">
      <w:pPr>
        <w:spacing w:before="0" w:after="0" w:line="377" w:lineRule="exact"/>
        <w:ind w:left="80"/>
        <w:textAlignment w:val="center"/>
      </w:pPr>
      <w:r>
        <w:rPr>
          <w:rFonts w:ascii="微软雅黑" w:hAnsi="微软雅黑" w:eastAsia="微软雅黑" w:cs="微软雅黑"/>
          <w:color w:val="404040"/>
          <w:sz w:val="20"/>
        </w:rPr>
        <w:t xml:space="preserve"> </w:t>
      </w:r>
      <w:r>
        <w:rPr>
          <w:rFonts w:ascii="微软雅黑" w:hAnsi="微软雅黑" w:eastAsia="微软雅黑" w:cs="微软雅黑"/>
          <w:b/>
          <w:color w:val="404040"/>
          <w:sz w:val="20"/>
        </w:rPr>
        <w:t xml:space="preserve">LEKIN车间作业排程项目 </w:t>
      </w:r>
      <w:r>
        <w:rPr>
          <w:rFonts w:hint="eastAsia" w:ascii="微软雅黑" w:hAnsi="微软雅黑" w:eastAsia="微软雅黑" w:cs="微软雅黑"/>
          <w:b/>
          <w:color w:val="404040"/>
          <w:sz w:val="20"/>
          <w:lang w:val="en-US" w:eastAsia="zh-CN"/>
        </w:rPr>
        <w:t xml:space="preserve">         </w:t>
      </w:r>
      <w:r>
        <w:rPr>
          <w:rFonts w:ascii="微软雅黑" w:hAnsi="微软雅黑" w:eastAsia="微软雅黑" w:cs="微软雅黑"/>
          <w:b/>
          <w:color w:val="404040"/>
          <w:sz w:val="20"/>
        </w:rPr>
        <w:t>核心参与者 2025.03 - 2025.06</w:t>
      </w:r>
    </w:p>
    <w:p w14:paraId="2DA1023E">
      <w:pPr>
        <w:numPr>
          <w:ilvl w:val="0"/>
          <w:numId w:val="2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模型搭建</w:t>
      </w:r>
      <w:r>
        <w:rPr>
          <w:rFonts w:hint="eastAsia" w:ascii="微软雅黑" w:hAnsi="微软雅黑" w:eastAsia="微软雅黑" w:cs="微软雅黑"/>
          <w:color w:val="404040"/>
          <w:sz w:val="20"/>
        </w:rPr>
        <w:t>：熟练操作 LEKIN调度仿真软件，搭建单机、流水车间等6类经典生产调度模型，完成全量设备数据录入</w:t>
      </w:r>
    </w:p>
    <w:p w14:paraId="6EB08722">
      <w:pPr>
        <w:numPr>
          <w:ilvl w:val="0"/>
          <w:numId w:val="2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方案验证</w:t>
      </w:r>
      <w:r>
        <w:rPr>
          <w:rFonts w:hint="eastAsia" w:ascii="微软雅黑" w:hAnsi="微软雅黑" w:eastAsia="微软雅黑" w:cs="微软雅黑"/>
          <w:color w:val="404040"/>
          <w:sz w:val="20"/>
        </w:rPr>
        <w:t>：配置多套调度规则生成甘特排程图，输出工期、设备负荷等多维度统计报表，量化对比不同调度方案的运行效果</w:t>
      </w:r>
    </w:p>
    <w:p w14:paraId="79B1D7CF">
      <w:pPr>
        <w:numPr>
          <w:ilvl w:val="0"/>
          <w:numId w:val="2"/>
        </w:numPr>
        <w:spacing w:before="0" w:after="0" w:line="377" w:lineRule="exact"/>
        <w:textAlignment w:val="center"/>
        <w:rPr>
          <w:rFonts w:hint="eastAsia" w:ascii="微软雅黑" w:hAnsi="微软雅黑" w:eastAsia="微软雅黑" w:cs="微软雅黑"/>
          <w:sz w:val="20"/>
          <w:szCs w:val="20"/>
        </w:rPr>
      </w:pPr>
      <w:r>
        <w:rPr>
          <w:rStyle w:val="7"/>
          <w:rFonts w:hint="eastAsia" w:ascii="微软雅黑" w:hAnsi="微软雅黑" w:eastAsia="微软雅黑" w:cs="微软雅黑"/>
          <w:sz w:val="20"/>
          <w:szCs w:val="20"/>
        </w:rPr>
        <w:t>决策支持</w:t>
      </w:r>
      <w:r>
        <w:rPr>
          <w:rFonts w:hint="eastAsia" w:ascii="微软雅黑" w:hAnsi="微软雅黑" w:eastAsia="微软雅黑" w:cs="微软雅黑"/>
          <w:sz w:val="20"/>
          <w:szCs w:val="20"/>
        </w:rPr>
        <w:t>：对比3类调度模式优劣差异，输出《车间调度方案选型参考报告》，为生产管理决策提供依据</w:t>
      </w:r>
    </w:p>
    <w:p w14:paraId="6DD60ADB">
      <w:pPr>
        <w:spacing w:before="100" w:after="160" w:line="290" w:lineRule="exact"/>
        <w:ind w:left="566"/>
        <w:textAlignment w:val="center"/>
        <w:rPr>
          <w:sz w:val="21"/>
        </w:rPr>
      </w:pPr>
      <w:r>
        <w:rPr>
          <w:rFonts w:ascii="微软雅黑" w:hAnsi="微软雅黑" w:eastAsia="微软雅黑" w:cs="微软雅黑"/>
          <w:b w:val="0"/>
          <w:color w:val="FFFFFF"/>
          <w:sz w:val="26"/>
        </w:rPr>
        <w:t>在校经历</w:t>
      </w:r>
      <w:r>
        <w:rPr>
          <w:rFonts w:ascii="微软雅黑" w:hAnsi="微软雅黑" w:eastAsia="微软雅黑" w:cs="微软雅黑"/>
          <w:b w:val="0"/>
          <w:color w:val="FFFFFF"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0</wp:posOffset>
            </wp:positionV>
            <wp:extent cx="6664960" cy="350520"/>
            <wp:effectExtent l="0" t="0" r="0" b="0"/>
            <wp:wrapNone/>
            <wp:docPr id="17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64873" cy="350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64135</wp:posOffset>
            </wp:positionV>
            <wp:extent cx="193675" cy="193675"/>
            <wp:effectExtent l="0" t="0" r="0" b="0"/>
            <wp:wrapNone/>
            <wp:docPr id="19" name="Drawing 0" descr="在校经历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rawing 0" descr="在校经历.svg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85" cy="19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054B6F">
      <w:pPr>
        <w:spacing w:before="0" w:after="0" w:line="14" w:lineRule="exact"/>
        <w:rPr>
          <w:sz w:val="21"/>
        </w:rPr>
      </w:pPr>
    </w:p>
    <w:p w14:paraId="07212DFE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1001FF83">
      <w:pPr>
        <w:tabs>
          <w:tab w:val="center" w:pos="4620"/>
          <w:tab w:val="right" w:pos="10380"/>
        </w:tabs>
        <w:spacing w:before="0" w:after="0" w:line="377" w:lineRule="exact"/>
        <w:ind w:left="80"/>
        <w:jc w:val="left"/>
        <w:textAlignment w:val="center"/>
        <w:rPr>
          <w:rFonts w:hint="eastAsia" w:ascii="微软雅黑" w:hAnsi="微软雅黑" w:eastAsia="微软雅黑" w:cs="微软雅黑"/>
          <w:b/>
          <w:bCs/>
        </w:rPr>
      </w:pPr>
      <w:r>
        <w:rPr>
          <w:rFonts w:ascii="微软雅黑" w:hAnsi="微软雅黑" w:eastAsia="微软雅黑" w:cs="微软雅黑"/>
          <w:b/>
          <w:sz w:val="22"/>
        </w:rPr>
        <w:t>2023.10-2025.01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ascii="微软雅黑" w:hAnsi="微软雅黑" w:eastAsia="微软雅黑" w:cs="微软雅黑"/>
          <w:b/>
          <w:sz w:val="22"/>
        </w:rPr>
        <w:t>西安电子科技大学校学生会生活服务部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校园服务项目负责人</w:t>
      </w:r>
    </w:p>
    <w:p w14:paraId="5A460B14">
      <w:pPr>
        <w:spacing w:before="0" w:after="0" w:line="71" w:lineRule="exact"/>
        <w:ind w:left="80"/>
        <w:jc w:val="left"/>
      </w:pPr>
    </w:p>
    <w:p w14:paraId="570B5A91">
      <w:pPr>
        <w:numPr>
          <w:ilvl w:val="0"/>
          <w:numId w:val="3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color w:val="404040"/>
          <w:sz w:val="20"/>
        </w:rPr>
        <w:t>牵头</w:t>
      </w:r>
      <w:r>
        <w:rPr>
          <w:rFonts w:hint="eastAsia" w:ascii="微软雅黑" w:hAnsi="微软雅黑" w:eastAsia="微软雅黑" w:cs="微软雅黑"/>
          <w:color w:val="404040"/>
          <w:sz w:val="20"/>
          <w:lang w:val="en-US" w:eastAsia="zh-CN"/>
        </w:rPr>
        <w:t>22</w:t>
      </w:r>
      <w:r>
        <w:rPr>
          <w:rFonts w:hint="eastAsia" w:ascii="微软雅黑" w:hAnsi="微软雅黑" w:eastAsia="微软雅黑" w:cs="微软雅黑"/>
          <w:color w:val="404040"/>
          <w:sz w:val="20"/>
        </w:rPr>
        <w:t>人项目团队，按用户研究、项目执行、复盘迭代拆分权责，搭建量化绩效与复盘机制，明确协作标准</w:t>
      </w:r>
    </w:p>
    <w:p w14:paraId="2FCD082B">
      <w:pPr>
        <w:numPr>
          <w:ilvl w:val="0"/>
          <w:numId w:val="3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color w:val="404040"/>
          <w:sz w:val="20"/>
        </w:rPr>
        <w:t>主导</w:t>
      </w:r>
      <w:r>
        <w:rPr>
          <w:rFonts w:hint="eastAsia" w:ascii="微软雅黑" w:hAnsi="微软雅黑" w:eastAsia="微软雅黑" w:cs="微软雅黑"/>
          <w:color w:val="404040"/>
          <w:sz w:val="20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404040"/>
          <w:sz w:val="20"/>
        </w:rPr>
        <w:t>项校级校园服务项目全生命周期管理，调研收集200 +师生需求，拆解优先级并落地，累计覆盖 3000 +人次</w:t>
      </w:r>
    </w:p>
    <w:p w14:paraId="17273454">
      <w:pPr>
        <w:numPr>
          <w:ilvl w:val="0"/>
          <w:numId w:val="3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color w:val="404040"/>
          <w:sz w:val="20"/>
        </w:rPr>
        <w:t>梳理项目全流程节点，输出标准化SOP与交接模板，将项目筹备周期缩短20%，沉淀可复用方法论</w:t>
      </w:r>
    </w:p>
    <w:p w14:paraId="207FCFFA">
      <w:pPr>
        <w:spacing w:before="0" w:after="0" w:line="152" w:lineRule="exact"/>
        <w:ind w:left="80"/>
        <w:jc w:val="left"/>
      </w:pPr>
    </w:p>
    <w:p w14:paraId="71C5181B">
      <w:pPr>
        <w:tabs>
          <w:tab w:val="center" w:pos="4620"/>
          <w:tab w:val="right" w:pos="10380"/>
        </w:tabs>
        <w:spacing w:before="0" w:after="0" w:line="377" w:lineRule="exact"/>
        <w:ind w:left="80"/>
        <w:jc w:val="left"/>
        <w:textAlignment w:val="center"/>
        <w:rPr>
          <w:rFonts w:hint="eastAsia" w:ascii="微软雅黑" w:hAnsi="微软雅黑" w:eastAsia="微软雅黑" w:cs="微软雅黑"/>
          <w:b/>
          <w:bCs/>
        </w:rPr>
      </w:pPr>
      <w:r>
        <w:rPr>
          <w:rFonts w:ascii="微软雅黑" w:hAnsi="微软雅黑" w:eastAsia="微软雅黑" w:cs="微软雅黑"/>
          <w:b/>
          <w:sz w:val="22"/>
        </w:rPr>
        <w:t>2023.10-2024.12</w:t>
      </w:r>
      <w:r>
        <w:rPr>
          <w:rFonts w:hint="eastAsia" w:ascii="微软雅黑" w:hAnsi="微软雅黑" w:eastAsia="微软雅黑" w:cs="微软雅黑"/>
          <w:b/>
          <w:sz w:val="22"/>
          <w:lang w:val="en-US" w:eastAsia="zh-CN"/>
        </w:rPr>
        <w:t xml:space="preserve">       </w:t>
      </w:r>
      <w:r>
        <w:rPr>
          <w:rFonts w:ascii="微软雅黑" w:hAnsi="微软雅黑" w:eastAsia="微软雅黑" w:cs="微软雅黑"/>
          <w:b/>
          <w:sz w:val="22"/>
        </w:rPr>
        <w:t>西安电子科技大学丁香书院宣传部</w:t>
      </w:r>
      <w:r>
        <w:rPr>
          <w:rFonts w:ascii="微软雅黑" w:hAnsi="微软雅黑" w:eastAsia="微软雅黑" w:cs="微软雅黑"/>
          <w:b/>
          <w:sz w:val="22"/>
        </w:rPr>
        <w:tab/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内容产品与项目协调</w:t>
      </w:r>
    </w:p>
    <w:p w14:paraId="72306233">
      <w:pPr>
        <w:spacing w:before="0" w:after="0" w:line="71" w:lineRule="exact"/>
        <w:ind w:left="80"/>
        <w:jc w:val="left"/>
      </w:pPr>
    </w:p>
    <w:p w14:paraId="3073F585">
      <w:pPr>
        <w:numPr>
          <w:ilvl w:val="0"/>
          <w:numId w:val="4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color w:val="404040"/>
          <w:sz w:val="20"/>
        </w:rPr>
        <w:t>负责活动内容产品设计与用户触达，产出10 +原创文案，单篇最高触达 400+，提升活动曝光与转化</w:t>
      </w:r>
    </w:p>
    <w:p w14:paraId="02B43445">
      <w:pPr>
        <w:numPr>
          <w:ilvl w:val="0"/>
          <w:numId w:val="4"/>
        </w:numPr>
        <w:spacing w:before="0" w:after="0" w:line="377" w:lineRule="exact"/>
        <w:textAlignment w:val="center"/>
        <w:rPr>
          <w:rFonts w:hint="eastAsia"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sz w:val="20"/>
          <w:szCs w:val="20"/>
        </w:rPr>
        <w:t>梳理内容物料全链路流程，制定对接责任清单与时间节点，降低跨部门沟通成本，提升交付效率</w:t>
      </w:r>
    </w:p>
    <w:p w14:paraId="3C75F89A">
      <w:pPr>
        <w:spacing w:before="100" w:after="160" w:line="290" w:lineRule="exact"/>
        <w:ind w:left="566"/>
        <w:textAlignment w:val="center"/>
        <w:rPr>
          <w:sz w:val="21"/>
        </w:rPr>
      </w:pPr>
      <w:r>
        <w:rPr>
          <w:rFonts w:ascii="微软雅黑" w:hAnsi="微软雅黑" w:eastAsia="微软雅黑" w:cs="微软雅黑"/>
          <w:b w:val="0"/>
          <w:color w:val="FFFFFF"/>
          <w:sz w:val="26"/>
        </w:rPr>
        <w:t>相关技能</w:t>
      </w:r>
      <w:r>
        <w:rPr>
          <w:rFonts w:ascii="微软雅黑" w:hAnsi="微软雅黑" w:eastAsia="微软雅黑" w:cs="微软雅黑"/>
          <w:b w:val="0"/>
          <w:color w:val="FFFFFF"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0</wp:posOffset>
            </wp:positionV>
            <wp:extent cx="6664960" cy="350520"/>
            <wp:effectExtent l="0" t="0" r="0" b="0"/>
            <wp:wrapNone/>
            <wp:docPr id="21" name="Drawing 0" descr="module_title_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rawing 0" descr="module_title_background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64873" cy="350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64135</wp:posOffset>
            </wp:positionV>
            <wp:extent cx="193675" cy="193675"/>
            <wp:effectExtent l="0" t="0" r="0" b="0"/>
            <wp:wrapNone/>
            <wp:docPr id="23" name="Drawing 0" descr="相关技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rawing 0" descr="相关技能.png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3585" cy="19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939354">
      <w:pPr>
        <w:spacing w:before="0" w:after="0" w:line="14" w:lineRule="exact"/>
        <w:rPr>
          <w:sz w:val="21"/>
        </w:rPr>
      </w:pPr>
    </w:p>
    <w:p w14:paraId="0E54914E">
      <w:pPr>
        <w:spacing w:before="0" w:after="0" w:line="152" w:lineRule="exact"/>
        <w:rPr>
          <w:rFonts w:hint="eastAsia" w:eastAsiaTheme="minorEastAsia"/>
          <w:sz w:val="21"/>
          <w:lang w:val="en-US" w:eastAsia="zh-CN"/>
        </w:rPr>
      </w:pPr>
    </w:p>
    <w:p w14:paraId="053C8864">
      <w:pPr>
        <w:numPr>
          <w:ilvl w:val="0"/>
          <w:numId w:val="5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产品设计</w:t>
      </w:r>
      <w:r>
        <w:rPr>
          <w:rFonts w:hint="eastAsia" w:ascii="微软雅黑" w:hAnsi="微软雅黑" w:eastAsia="微软雅黑" w:cs="微软雅黑"/>
          <w:color w:val="404040"/>
          <w:sz w:val="20"/>
        </w:rPr>
        <w:t>：掌握流程梳理与</w:t>
      </w: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SOP标准化方法论</w:t>
      </w:r>
      <w:r>
        <w:rPr>
          <w:rFonts w:hint="eastAsia" w:ascii="微软雅黑" w:hAnsi="微软雅黑" w:eastAsia="微软雅黑" w:cs="微软雅黑"/>
          <w:color w:val="404040"/>
          <w:sz w:val="20"/>
        </w:rPr>
        <w:t>，了解</w:t>
      </w: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墨刀</w:t>
      </w:r>
      <w:r>
        <w:rPr>
          <w:rFonts w:hint="eastAsia" w:ascii="微软雅黑" w:hAnsi="微软雅黑" w:eastAsia="微软雅黑" w:cs="微软雅黑"/>
          <w:color w:val="404040"/>
          <w:sz w:val="20"/>
        </w:rPr>
        <w:t xml:space="preserve">原型工具，熟悉 </w:t>
      </w: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ERP</w:t>
      </w:r>
      <w:r>
        <w:rPr>
          <w:rFonts w:hint="eastAsia" w:ascii="微软雅黑" w:hAnsi="微软雅黑" w:eastAsia="微软雅黑" w:cs="微软雅黑"/>
          <w:color w:val="404040"/>
          <w:sz w:val="20"/>
        </w:rPr>
        <w:t>、企业管理信息系统底层逻辑</w:t>
      </w:r>
    </w:p>
    <w:p w14:paraId="0D480A99">
      <w:pPr>
        <w:numPr>
          <w:ilvl w:val="0"/>
          <w:numId w:val="5"/>
        </w:numPr>
        <w:spacing w:before="0" w:after="0" w:line="377" w:lineRule="exact"/>
        <w:textAlignment w:val="center"/>
      </w:pP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数据分析</w:t>
      </w:r>
      <w:r>
        <w:rPr>
          <w:rFonts w:hint="eastAsia" w:ascii="微软雅黑" w:hAnsi="微软雅黑" w:eastAsia="微软雅黑" w:cs="微软雅黑"/>
          <w:color w:val="404040"/>
          <w:sz w:val="20"/>
        </w:rPr>
        <w:t xml:space="preserve">：掌握指标拆解、瓶颈分析方法，了解 </w:t>
      </w:r>
      <w:r>
        <w:rPr>
          <w:rFonts w:hint="eastAsia" w:ascii="微软雅黑" w:hAnsi="微软雅黑" w:eastAsia="微软雅黑" w:cs="微软雅黑"/>
          <w:b/>
          <w:bCs/>
          <w:color w:val="404040"/>
          <w:sz w:val="20"/>
        </w:rPr>
        <w:t>SQL、A/B 测试</w:t>
      </w:r>
      <w:r>
        <w:rPr>
          <w:rFonts w:hint="eastAsia" w:ascii="微软雅黑" w:hAnsi="微软雅黑" w:eastAsia="微软雅黑" w:cs="微软雅黑"/>
          <w:color w:val="404040"/>
          <w:sz w:val="20"/>
        </w:rPr>
        <w:t>逻辑，可依托数据支撑产品决策</w:t>
      </w:r>
    </w:p>
    <w:p w14:paraId="1F3D5897">
      <w:pPr>
        <w:numPr>
          <w:ilvl w:val="0"/>
          <w:numId w:val="5"/>
        </w:numPr>
        <w:spacing w:before="0" w:after="0" w:line="377" w:lineRule="exact"/>
        <w:textAlignment w:val="center"/>
      </w:pPr>
      <w:r>
        <w:rPr>
          <w:rFonts w:ascii="微软雅黑" w:hAnsi="微软雅黑" w:eastAsia="微软雅黑" w:cs="微软雅黑"/>
          <w:b/>
          <w:bCs/>
          <w:color w:val="404040"/>
          <w:sz w:val="20"/>
        </w:rPr>
        <w:t>项目统筹</w:t>
      </w:r>
      <w:r>
        <w:rPr>
          <w:rFonts w:ascii="微软雅黑" w:hAnsi="微软雅黑" w:eastAsia="微软雅黑" w:cs="微软雅黑"/>
          <w:color w:val="404040"/>
          <w:sz w:val="20"/>
        </w:rPr>
        <w:t>：可运用</w:t>
      </w:r>
      <w:r>
        <w:rPr>
          <w:rFonts w:ascii="微软雅黑" w:hAnsi="微软雅黑" w:eastAsia="微软雅黑" w:cs="微软雅黑"/>
          <w:b/>
          <w:bCs/>
          <w:color w:val="404040"/>
          <w:sz w:val="20"/>
        </w:rPr>
        <w:t>关键路径、PERT方法</w:t>
      </w:r>
      <w:r>
        <w:rPr>
          <w:rFonts w:ascii="微软雅黑" w:hAnsi="微软雅黑" w:eastAsia="微软雅黑" w:cs="微软雅黑"/>
          <w:color w:val="404040"/>
          <w:sz w:val="20"/>
        </w:rPr>
        <w:t>开展跨部门沟通协调，推动需求落地与项目全流程闭环</w:t>
      </w:r>
    </w:p>
    <w:p w14:paraId="16B68EDB">
      <w:pPr>
        <w:numPr>
          <w:ilvl w:val="0"/>
          <w:numId w:val="5"/>
        </w:numPr>
        <w:spacing w:before="0" w:after="0" w:line="377" w:lineRule="exact"/>
        <w:textAlignment w:val="center"/>
      </w:pPr>
      <w:r>
        <w:rPr>
          <w:rFonts w:ascii="微软雅黑" w:hAnsi="微软雅黑" w:eastAsia="微软雅黑" w:cs="微软雅黑"/>
          <w:b/>
          <w:bCs/>
          <w:color w:val="404040"/>
          <w:sz w:val="20"/>
        </w:rPr>
        <w:t>综合能力</w:t>
      </w:r>
      <w:r>
        <w:rPr>
          <w:rFonts w:ascii="微软雅黑" w:hAnsi="微软雅黑" w:eastAsia="微软雅黑" w:cs="微软雅黑"/>
          <w:color w:val="404040"/>
          <w:sz w:val="20"/>
        </w:rPr>
        <w:t>：具备竞品分析思维，以业务价值为导向，擅长流程梳理优化与迭代复盘</w:t>
      </w:r>
      <w:bookmarkStart w:id="0" w:name="_GoBack"/>
      <w:bookmarkEnd w:id="0"/>
    </w:p>
    <w:p w14:paraId="3063BEE5">
      <w:pPr>
        <w:spacing w:before="0" w:after="0" w:line="290" w:lineRule="exact"/>
        <w:jc w:val="left"/>
      </w:pPr>
    </w:p>
    <w:p w14:paraId="6C4073E8">
      <w:pPr>
        <w:spacing w:before="100" w:after="160" w:line="290" w:lineRule="exact"/>
        <w:ind w:left="566"/>
        <w:textAlignment w:val="center"/>
        <w:rPr>
          <w:rFonts w:hint="eastAsia" w:eastAsiaTheme="minorEastAsia"/>
          <w:lang w:eastAsia="zh"/>
          <w:woUserID w:val="1"/>
        </w:rPr>
      </w:pPr>
      <w:r>
        <w:rPr>
          <w:rFonts w:ascii="微软雅黑" w:hAnsi="微软雅黑" w:eastAsia="微软雅黑" w:cs="微软雅黑"/>
          <w:b w:val="0"/>
          <w:color w:val="FFFFFF"/>
          <w:sz w:val="26"/>
        </w:rPr>
        <w:t>自我评价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1444625</wp:posOffset>
            </wp:positionH>
            <wp:positionV relativeFrom="paragraph">
              <wp:posOffset>15875</wp:posOffset>
            </wp:positionV>
            <wp:extent cx="193675" cy="193675"/>
            <wp:effectExtent l="0" t="0" r="15875" b="15875"/>
            <wp:wrapNone/>
            <wp:docPr id="27" name="Drawing 0" descr="自我评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rawing 0" descr="自我评价.png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3585" cy="19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r:id="rId4" w:type="first"/>
      <w:footerReference r:id="rId5" w:type="first"/>
      <w:headerReference r:id="rId3" w:type="default"/>
      <w:pgSz w:w="11906" w:h="16838"/>
      <w:pgMar w:top="246" w:right="769" w:bottom="246" w:left="754" w:header="0" w:footer="0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FCD8A7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3818FC">
    <w:pPr>
      <w:spacing w:before="0" w:after="0" w:line="14" w:lineRule="exac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3400"/>
          <wp:effectExtent l="0" t="0" r="0" b="0"/>
          <wp:wrapNone/>
          <wp:docPr id="35" name="Drawing 0" descr="page_auto_backgroun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Drawing 0" descr="page_auto_background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055" cy="10693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6C1DD6">
    <w:pPr>
      <w:pStyle w:val="3"/>
      <w:pBdr>
        <w:bottom w:val="none" w:color="auto" w:sz="0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0692130"/>
          <wp:effectExtent l="0" t="0" r="3175" b="13970"/>
          <wp:wrapNone/>
          <wp:docPr id="33" name="图片 33" descr="page_auto_backgroun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图片 33" descr="page_auto_backgroun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FEF690"/>
    <w:multiLevelType w:val="multilevel"/>
    <w:tmpl w:val="BDFEF690"/>
    <w:lvl w:ilvl="0" w:tentative="0">
      <w:start w:val="1"/>
      <w:numFmt w:val="bullet"/>
      <w:lvlText w:val="•"/>
      <w:lvlJc w:val="left"/>
      <w:pPr>
        <w:ind w:left="280" w:hanging="200"/>
      </w:pPr>
    </w:lvl>
    <w:lvl w:ilvl="1" w:tentative="0">
      <w:start w:val="1"/>
      <w:numFmt w:val="bullet"/>
      <w:lvlText w:val="•"/>
      <w:lvlJc w:val="left"/>
      <w:pPr>
        <w:ind w:left="700" w:hanging="200"/>
      </w:pPr>
    </w:lvl>
    <w:lvl w:ilvl="2" w:tentative="0">
      <w:start w:val="1"/>
      <w:numFmt w:val="bullet"/>
      <w:lvlText w:val="•"/>
      <w:lvlJc w:val="left"/>
      <w:pPr>
        <w:ind w:left="1120" w:hanging="200"/>
      </w:pPr>
    </w:lvl>
    <w:lvl w:ilvl="3" w:tentative="0">
      <w:start w:val="1"/>
      <w:numFmt w:val="bullet"/>
      <w:lvlText w:val="•"/>
      <w:lvlJc w:val="left"/>
      <w:pPr>
        <w:ind w:left="1540" w:hanging="200"/>
      </w:pPr>
    </w:lvl>
    <w:lvl w:ilvl="4" w:tentative="0">
      <w:start w:val="1"/>
      <w:numFmt w:val="bullet"/>
      <w:lvlText w:val="•"/>
      <w:lvlJc w:val="left"/>
      <w:pPr>
        <w:ind w:left="1960" w:hanging="200"/>
      </w:pPr>
    </w:lvl>
    <w:lvl w:ilvl="5" w:tentative="0">
      <w:start w:val="1"/>
      <w:numFmt w:val="bullet"/>
      <w:lvlText w:val="•"/>
      <w:lvlJc w:val="left"/>
      <w:pPr>
        <w:ind w:left="2380" w:hanging="200"/>
      </w:pPr>
    </w:lvl>
    <w:lvl w:ilvl="6" w:tentative="0">
      <w:start w:val="1"/>
      <w:numFmt w:val="bullet"/>
      <w:lvlText w:val="•"/>
      <w:lvlJc w:val="left"/>
      <w:pPr>
        <w:ind w:left="2800" w:hanging="200"/>
      </w:pPr>
    </w:lvl>
    <w:lvl w:ilvl="7" w:tentative="0">
      <w:start w:val="1"/>
      <w:numFmt w:val="bullet"/>
      <w:lvlText w:val="•"/>
      <w:lvlJc w:val="left"/>
      <w:pPr>
        <w:ind w:left="3220" w:hanging="200"/>
      </w:pPr>
    </w:lvl>
    <w:lvl w:ilvl="8" w:tentative="0">
      <w:start w:val="1"/>
      <w:numFmt w:val="bullet"/>
      <w:lvlText w:val="•"/>
      <w:lvlJc w:val="left"/>
      <w:pPr>
        <w:ind w:left="3640" w:hanging="20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YWJhNTk2YmViMDJjYTgzY2MwNmE4ZmMwNTRjZmUifQ=="/>
  </w:docVars>
  <w:rsids>
    <w:rsidRoot w:val="6502090C"/>
    <w:rsid w:val="09E759A5"/>
    <w:rsid w:val="14B93137"/>
    <w:rsid w:val="192A24F5"/>
    <w:rsid w:val="1C3F1959"/>
    <w:rsid w:val="1E1E31CB"/>
    <w:rsid w:val="22781456"/>
    <w:rsid w:val="2F2B5F68"/>
    <w:rsid w:val="31E70D56"/>
    <w:rsid w:val="38B05511"/>
    <w:rsid w:val="40C634A3"/>
    <w:rsid w:val="436405CD"/>
    <w:rsid w:val="459E1D8A"/>
    <w:rsid w:val="49F16BD5"/>
    <w:rsid w:val="4ED846C4"/>
    <w:rsid w:val="5153670D"/>
    <w:rsid w:val="53E178E8"/>
    <w:rsid w:val="568972FD"/>
    <w:rsid w:val="61AC5CC9"/>
    <w:rsid w:val="6502090C"/>
    <w:rsid w:val="68F33F75"/>
    <w:rsid w:val="6EDE393A"/>
    <w:rsid w:val="7D7948E1"/>
    <w:rsid w:val="F7DFB7B3"/>
    <w:rsid w:val="FF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svg"/><Relationship Id="rId13" Type="http://schemas.openxmlformats.org/officeDocument/2006/relationships/image" Target="media/image9.png"/><Relationship Id="rId12" Type="http://schemas.openxmlformats.org/officeDocument/2006/relationships/image" Target="media/image8.sv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900</Words>
  <Characters>1033</Characters>
  <Lines>0</Lines>
  <Paragraphs>0</Paragraphs>
  <TotalTime>25</TotalTime>
  <ScaleCrop>false</ScaleCrop>
  <LinksUpToDate>false</LinksUpToDate>
  <CharactersWithSpaces>1109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2022-03-07T16:59:00Z</dcterms:created>
  <dc:creator>WPS_1603439798</dc:creator>
  <cp:lastModifiedBy>卡夫卡</cp:lastModifiedBy>
  <dcterms:modified xsi:type="dcterms:W3CDTF">2026-09-08T04:24:14Z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4DC80FAD7AA99F177B779F6A84C1FED4_43</vt:lpwstr>
  </property>
  <property fmtid="{D5CDD505-2E9C-101B-9397-08002B2CF9AE}" pid="4" name="woTypoMode">
    <vt:lpwstr>pages</vt:lpwstr>
  </property>
  <property fmtid="{D5CDD505-2E9C-101B-9397-08002B2CF9AE}" pid="5" name="woSyncTypoMode">
    <vt:lpwstr>是</vt:lpwstr>
  </property>
  <property fmtid="{D5CDD505-2E9C-101B-9397-08002B2CF9AE}" pid="6" name="woTemplateTypoMode" linkTarget="0">
    <vt:lpwstr/>
  </property>
  <property fmtid="{D5CDD505-2E9C-101B-9397-08002B2CF9AE}" pid="7" name="woTemplate" linkTarget="0">
    <vt:i4>0</vt:i4>
  </property>
  <property fmtid="{D5CDD505-2E9C-101B-9397-08002B2CF9AE}" pid="8" name="KSOTemplateDocerSaveRecord">
    <vt:lpwstr>eyJoZGlkIjoiYjFmOTk4ZmE4NTBkZmQ4YjYyYzAwNTcxNjUwZjk3NTYiLCJ1c2VySWQiOiIxNTA4NTI3NzM0In0=</vt:lpwstr>
  </property>
</Properties>
</file>